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0CF88DE3" w:rsidR="00CD20AF" w:rsidRDefault="00361631" w:rsidP="00092A91">
      <w:pPr>
        <w:jc w:val="center"/>
        <w:rPr>
          <w:rFonts w:ascii="Times New Roman" w:eastAsia="Times New Roman" w:hAnsi="Times New Roman" w:cs="Times New Roman"/>
          <w:b/>
          <w:bCs/>
          <w:sz w:val="28"/>
          <w:szCs w:val="28"/>
        </w:rPr>
      </w:pPr>
      <w:bookmarkStart w:id="1" w:name="_Hlk128600578"/>
      <w:r>
        <w:rPr>
          <w:rFonts w:ascii="Times New Roman" w:eastAsia="Times New Roman" w:hAnsi="Times New Roman" w:cs="Times New Roman"/>
          <w:b/>
          <w:bCs/>
          <w:sz w:val="28"/>
          <w:szCs w:val="28"/>
        </w:rPr>
        <w:t>HUD Community Development Fund – Economic Development Initiative</w:t>
      </w:r>
    </w:p>
    <w:bookmarkEnd w:id="1"/>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6"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 xml:space="preserve">March 12, </w:t>
      </w:r>
      <w:proofErr w:type="gramStart"/>
      <w:r w:rsidR="00B20C73">
        <w:rPr>
          <w:rFonts w:ascii="Times New Roman" w:hAnsi="Times New Roman"/>
          <w:b/>
          <w:bCs/>
          <w:sz w:val="28"/>
          <w:szCs w:val="28"/>
        </w:rPr>
        <w:t>2023</w:t>
      </w:r>
      <w:proofErr w:type="gramEnd"/>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095327C4" w14:textId="5F7F8E89" w:rsidR="00C4755B" w:rsidRPr="00C4755B" w:rsidRDefault="00361631" w:rsidP="00C4755B">
      <w:pPr>
        <w:spacing w:line="240" w:lineRule="auto"/>
        <w:rPr>
          <w:rFonts w:ascii="Times New Roman" w:hAnsi="Times New Roman" w:cs="Times New Roman"/>
          <w:b/>
          <w:bCs/>
          <w:sz w:val="24"/>
          <w:szCs w:val="24"/>
        </w:rPr>
      </w:pPr>
      <w:r>
        <w:rPr>
          <w:rFonts w:ascii="Times New Roman" w:hAnsi="Times New Roman" w:cs="Times New Roman"/>
          <w:b/>
          <w:bCs/>
          <w:sz w:val="24"/>
          <w:szCs w:val="24"/>
        </w:rPr>
        <w:t>HUD Community Development Fund – Economic Development Initiative</w:t>
      </w:r>
    </w:p>
    <w:p w14:paraId="178D6FAA" w14:textId="77777777" w:rsidR="00361631" w:rsidRDefault="00361631" w:rsidP="00361631">
      <w:pPr>
        <w:pStyle w:val="ListParagraph"/>
        <w:spacing w:line="240" w:lineRule="auto"/>
        <w:ind w:left="0"/>
        <w:rPr>
          <w:rFonts w:ascii="Times New Roman" w:hAnsi="Times New Roman" w:cs="Times New Roman"/>
          <w:sz w:val="24"/>
          <w:szCs w:val="24"/>
        </w:rPr>
      </w:pPr>
      <w:r w:rsidRPr="00D57DFE">
        <w:rPr>
          <w:rFonts w:ascii="Times New Roman" w:hAnsi="Times New Roman" w:cs="Times New Roman"/>
          <w:sz w:val="24"/>
          <w:szCs w:val="24"/>
        </w:rPr>
        <w:t>EDI Community Project Funding within the Community Development Fund account of the HUD title is intended for economic and community development activities, consistent with statutory and additional Committee requirements.  Project requests for the FY24 Economic Development Initiative program must be eligible under one or more of the following criteria of the Community Development Block Grant (CDBG) program:  42 U.S.C. 5305(a)(1), 5305(a)(2), 5305(a)(4), 5305(a)(5); which are as follows—but limited to—land or site acquisition, demolition or rehabilitation; blight removal; and construction and capital improvements of public facilities, except for “buildings used for the general conduct of government.”</w:t>
      </w:r>
      <w:r>
        <w:rPr>
          <w:rFonts w:ascii="Times New Roman" w:hAnsi="Times New Roman" w:cs="Times New Roman"/>
          <w:sz w:val="24"/>
          <w:szCs w:val="24"/>
        </w:rPr>
        <w:t xml:space="preserve"> </w:t>
      </w:r>
      <w:r w:rsidRPr="00D57DFE">
        <w:rPr>
          <w:rFonts w:ascii="Times New Roman" w:hAnsi="Times New Roman" w:cs="Times New Roman"/>
          <w:sz w:val="24"/>
          <w:szCs w:val="24"/>
        </w:rPr>
        <w:t xml:space="preserve">Programmatic and operational expenses are not eligible.   </w:t>
      </w:r>
    </w:p>
    <w:p w14:paraId="28017ED0" w14:textId="77777777" w:rsidR="00361631" w:rsidRDefault="00361631" w:rsidP="00361631">
      <w:pPr>
        <w:pStyle w:val="ListParagraph"/>
        <w:spacing w:line="240" w:lineRule="auto"/>
        <w:rPr>
          <w:rFonts w:ascii="Times New Roman" w:hAnsi="Times New Roman" w:cs="Times New Roman"/>
          <w:sz w:val="24"/>
          <w:szCs w:val="24"/>
        </w:rPr>
      </w:pPr>
      <w:r w:rsidRPr="00D57DFE">
        <w:rPr>
          <w:rFonts w:ascii="Times New Roman" w:hAnsi="Times New Roman" w:cs="Times New Roman"/>
          <w:b/>
          <w:bCs/>
          <w:sz w:val="24"/>
          <w:szCs w:val="24"/>
        </w:rPr>
        <w:t>5305(a)(1)</w:t>
      </w:r>
      <w:r w:rsidRPr="00D57DFE">
        <w:rPr>
          <w:rFonts w:ascii="Times New Roman" w:hAnsi="Times New Roman" w:cs="Times New Roman"/>
          <w:sz w:val="24"/>
          <w:szCs w:val="24"/>
        </w:rPr>
        <w:t xml:space="preserve"> – the acquisition of real property (including air rights, water rights, and other interests therein) which is (A) blighted, deteriorated, deteriorating, undeveloped, or inappropriately developed from the standpoint of sound community development and growth; (B) appropriate for rehabilitation or conservation activities; (C) appropriate for the preservation or restoration of historic sites, the beautification of urban land, the conservation of open spaces, natural resources, and scenic areas, the provision of </w:t>
      </w:r>
      <w:r w:rsidRPr="00D57DFE">
        <w:rPr>
          <w:rFonts w:ascii="Times New Roman" w:hAnsi="Times New Roman" w:cs="Times New Roman"/>
          <w:sz w:val="24"/>
          <w:szCs w:val="24"/>
        </w:rPr>
        <w:lastRenderedPageBreak/>
        <w:t xml:space="preserve">recreational opportunities, or the guidance of urban development; (D) to be used for the provision of public works, facilities, and improvements eligible for assistance under this chapter; or (E) to be used for other public purposes;  </w:t>
      </w:r>
    </w:p>
    <w:p w14:paraId="5C6AB1ED" w14:textId="77777777" w:rsidR="00361631" w:rsidRDefault="00361631" w:rsidP="00361631">
      <w:pPr>
        <w:pStyle w:val="ListParagraph"/>
        <w:spacing w:line="240" w:lineRule="auto"/>
        <w:rPr>
          <w:rFonts w:ascii="Times New Roman" w:hAnsi="Times New Roman" w:cs="Times New Roman"/>
          <w:sz w:val="24"/>
          <w:szCs w:val="24"/>
        </w:rPr>
      </w:pPr>
      <w:r w:rsidRPr="00D57DFE">
        <w:rPr>
          <w:rFonts w:ascii="Times New Roman" w:hAnsi="Times New Roman" w:cs="Times New Roman"/>
          <w:b/>
          <w:bCs/>
          <w:sz w:val="24"/>
          <w:szCs w:val="24"/>
        </w:rPr>
        <w:t>5305(a)(2)</w:t>
      </w:r>
      <w:r w:rsidRPr="00D57DFE">
        <w:rPr>
          <w:rFonts w:ascii="Times New Roman" w:hAnsi="Times New Roman" w:cs="Times New Roman"/>
          <w:sz w:val="24"/>
          <w:szCs w:val="24"/>
        </w:rPr>
        <w:t xml:space="preserve"> – the acquisition, construction, reconstruction, or installation (including design features and improvements with respect to such construction, reconstruction, or installation that promote energy efficiency) of public works, facilities (except for buildings for the general conduct of government), and site or other </w:t>
      </w:r>
      <w:proofErr w:type="gramStart"/>
      <w:r w:rsidRPr="00D57DFE">
        <w:rPr>
          <w:rFonts w:ascii="Times New Roman" w:hAnsi="Times New Roman" w:cs="Times New Roman"/>
          <w:sz w:val="24"/>
          <w:szCs w:val="24"/>
        </w:rPr>
        <w:t>improvements;</w:t>
      </w:r>
      <w:proofErr w:type="gramEnd"/>
      <w:r w:rsidRPr="00D57DFE">
        <w:rPr>
          <w:rFonts w:ascii="Times New Roman" w:hAnsi="Times New Roman" w:cs="Times New Roman"/>
          <w:sz w:val="24"/>
          <w:szCs w:val="24"/>
        </w:rPr>
        <w:t xml:space="preserve">  </w:t>
      </w:r>
    </w:p>
    <w:p w14:paraId="0438AC11" w14:textId="77777777" w:rsidR="00361631" w:rsidRDefault="00361631" w:rsidP="00361631">
      <w:pPr>
        <w:pStyle w:val="ListParagraph"/>
        <w:spacing w:line="240" w:lineRule="auto"/>
        <w:rPr>
          <w:rFonts w:ascii="Times New Roman" w:hAnsi="Times New Roman" w:cs="Times New Roman"/>
          <w:sz w:val="24"/>
          <w:szCs w:val="24"/>
        </w:rPr>
      </w:pPr>
      <w:r w:rsidRPr="00D57DFE">
        <w:rPr>
          <w:rFonts w:ascii="Times New Roman" w:hAnsi="Times New Roman" w:cs="Times New Roman"/>
          <w:b/>
          <w:bCs/>
          <w:sz w:val="24"/>
          <w:szCs w:val="24"/>
        </w:rPr>
        <w:t>5305(a)(4)</w:t>
      </w:r>
      <w:r w:rsidRPr="00D57DFE">
        <w:rPr>
          <w:rFonts w:ascii="Times New Roman" w:hAnsi="Times New Roman" w:cs="Times New Roman"/>
          <w:sz w:val="24"/>
          <w:szCs w:val="24"/>
        </w:rPr>
        <w:t xml:space="preserve"> – clearance, demolition, removal, reconstruction, and rehabilitation (including rehabilitation which promotes energy efficiency) of buildings and improvements (including interim assistance, and financing public or private acquisition for reconstruction or rehabilitation, and reconstruction or rehabilitation, of privately owned properties, and including the renovation of closed school buildings</w:t>
      </w:r>
      <w:proofErr w:type="gramStart"/>
      <w:r w:rsidRPr="00D57DFE">
        <w:rPr>
          <w:rFonts w:ascii="Times New Roman" w:hAnsi="Times New Roman" w:cs="Times New Roman"/>
          <w:sz w:val="24"/>
          <w:szCs w:val="24"/>
        </w:rPr>
        <w:t>);</w:t>
      </w:r>
      <w:proofErr w:type="gramEnd"/>
      <w:r w:rsidRPr="00D57DFE">
        <w:rPr>
          <w:rFonts w:ascii="Times New Roman" w:hAnsi="Times New Roman" w:cs="Times New Roman"/>
          <w:sz w:val="24"/>
          <w:szCs w:val="24"/>
        </w:rPr>
        <w:t xml:space="preserve">  </w:t>
      </w:r>
    </w:p>
    <w:p w14:paraId="0D2DA8EC" w14:textId="77777777" w:rsidR="00361631" w:rsidRDefault="00361631" w:rsidP="00361631">
      <w:pPr>
        <w:pStyle w:val="ListParagraph"/>
        <w:spacing w:line="240" w:lineRule="auto"/>
        <w:rPr>
          <w:rFonts w:ascii="Times New Roman" w:hAnsi="Times New Roman" w:cs="Times New Roman"/>
          <w:sz w:val="24"/>
          <w:szCs w:val="24"/>
        </w:rPr>
      </w:pPr>
      <w:r w:rsidRPr="00D57DFE">
        <w:rPr>
          <w:rFonts w:ascii="Times New Roman" w:hAnsi="Times New Roman" w:cs="Times New Roman"/>
          <w:b/>
          <w:bCs/>
          <w:sz w:val="24"/>
          <w:szCs w:val="24"/>
        </w:rPr>
        <w:t>5305(a)(5)</w:t>
      </w:r>
      <w:r w:rsidRPr="00D57DFE">
        <w:rPr>
          <w:rFonts w:ascii="Times New Roman" w:hAnsi="Times New Roman" w:cs="Times New Roman"/>
          <w:sz w:val="24"/>
          <w:szCs w:val="24"/>
        </w:rPr>
        <w:t xml:space="preserve"> – special projects directed to the removal of material and architectural barriers which restrict the mobility and accessibility of elderly and handicapped </w:t>
      </w:r>
      <w:proofErr w:type="gramStart"/>
      <w:r w:rsidRPr="00D57DFE">
        <w:rPr>
          <w:rFonts w:ascii="Times New Roman" w:hAnsi="Times New Roman" w:cs="Times New Roman"/>
          <w:sz w:val="24"/>
          <w:szCs w:val="24"/>
        </w:rPr>
        <w:t>persons;</w:t>
      </w:r>
      <w:proofErr w:type="gramEnd"/>
    </w:p>
    <w:p w14:paraId="1A947A0D" w14:textId="77777777" w:rsidR="00361631" w:rsidRDefault="00361631" w:rsidP="00361631">
      <w:pPr>
        <w:pStyle w:val="ListParagraph"/>
        <w:spacing w:line="240" w:lineRule="auto"/>
        <w:ind w:left="0"/>
        <w:rPr>
          <w:rFonts w:ascii="Times New Roman" w:hAnsi="Times New Roman" w:cs="Times New Roman"/>
          <w:sz w:val="24"/>
          <w:szCs w:val="24"/>
        </w:rPr>
      </w:pPr>
    </w:p>
    <w:p w14:paraId="2BB627AC" w14:textId="4F3AB73D" w:rsidR="00361631" w:rsidRDefault="00361631" w:rsidP="00361631">
      <w:pPr>
        <w:pStyle w:val="ListParagraph"/>
        <w:spacing w:line="240" w:lineRule="auto"/>
        <w:ind w:left="0"/>
        <w:rPr>
          <w:rFonts w:ascii="Times New Roman" w:hAnsi="Times New Roman" w:cs="Times New Roman"/>
          <w:sz w:val="24"/>
          <w:szCs w:val="24"/>
        </w:rPr>
      </w:pPr>
      <w:r w:rsidRPr="00D57DFE">
        <w:rPr>
          <w:rFonts w:ascii="Times New Roman" w:hAnsi="Times New Roman" w:cs="Times New Roman"/>
          <w:sz w:val="24"/>
          <w:szCs w:val="24"/>
        </w:rPr>
        <w:t xml:space="preserve">Given that projects must meet these authorized purposes of the CDBG program, the Committee expects to fund the following types of projects and other similar projects: </w:t>
      </w:r>
    </w:p>
    <w:p w14:paraId="061CC555" w14:textId="77777777" w:rsidR="00361631" w:rsidRDefault="00361631" w:rsidP="00361631">
      <w:pPr>
        <w:pStyle w:val="ListParagraph"/>
        <w:numPr>
          <w:ilvl w:val="0"/>
          <w:numId w:val="29"/>
        </w:numPr>
        <w:spacing w:line="240" w:lineRule="auto"/>
        <w:ind w:left="720"/>
        <w:rPr>
          <w:rFonts w:ascii="Times New Roman" w:hAnsi="Times New Roman" w:cs="Times New Roman"/>
          <w:sz w:val="24"/>
          <w:szCs w:val="24"/>
        </w:rPr>
      </w:pPr>
      <w:r>
        <w:rPr>
          <w:rFonts w:ascii="Times New Roman" w:hAnsi="Times New Roman" w:cs="Times New Roman"/>
          <w:sz w:val="24"/>
          <w:szCs w:val="24"/>
        </w:rPr>
        <w:t>W</w:t>
      </w:r>
      <w:r w:rsidRPr="00D57DFE">
        <w:rPr>
          <w:rFonts w:ascii="Times New Roman" w:hAnsi="Times New Roman" w:cs="Times New Roman"/>
          <w:sz w:val="24"/>
          <w:szCs w:val="24"/>
        </w:rPr>
        <w:t>ater or sewer infrastructure projects, which are not otherwise eligible to be funded as CPFs in EPA STAG (Interior bill) or Rural Water and Waste (Agriculture bill</w:t>
      </w:r>
      <w:proofErr w:type="gramStart"/>
      <w:r w:rsidRPr="00D57DFE">
        <w:rPr>
          <w:rFonts w:ascii="Times New Roman" w:hAnsi="Times New Roman" w:cs="Times New Roman"/>
          <w:sz w:val="24"/>
          <w:szCs w:val="24"/>
        </w:rPr>
        <w:t>);</w:t>
      </w:r>
      <w:proofErr w:type="gramEnd"/>
      <w:r w:rsidRPr="00D57DFE">
        <w:rPr>
          <w:rFonts w:ascii="Times New Roman" w:hAnsi="Times New Roman" w:cs="Times New Roman"/>
          <w:sz w:val="24"/>
          <w:szCs w:val="24"/>
        </w:rPr>
        <w:t xml:space="preserve"> </w:t>
      </w:r>
    </w:p>
    <w:p w14:paraId="18CB0B2C" w14:textId="77777777" w:rsidR="00361631" w:rsidRDefault="00361631" w:rsidP="00361631">
      <w:pPr>
        <w:pStyle w:val="ListParagraph"/>
        <w:numPr>
          <w:ilvl w:val="0"/>
          <w:numId w:val="29"/>
        </w:numPr>
        <w:spacing w:line="240" w:lineRule="auto"/>
        <w:ind w:left="720"/>
        <w:rPr>
          <w:rFonts w:ascii="Times New Roman" w:hAnsi="Times New Roman" w:cs="Times New Roman"/>
          <w:sz w:val="24"/>
          <w:szCs w:val="24"/>
        </w:rPr>
      </w:pPr>
      <w:r w:rsidRPr="00D57DFE">
        <w:rPr>
          <w:rFonts w:ascii="Times New Roman" w:hAnsi="Times New Roman" w:cs="Times New Roman"/>
          <w:sz w:val="24"/>
          <w:szCs w:val="24"/>
        </w:rPr>
        <w:t>Local road infrastructure, which is not otherwise eligible as a CPF in Highways (in this bill</w:t>
      </w:r>
      <w:proofErr w:type="gramStart"/>
      <w:r w:rsidRPr="00D57DFE">
        <w:rPr>
          <w:rFonts w:ascii="Times New Roman" w:hAnsi="Times New Roman" w:cs="Times New Roman"/>
          <w:sz w:val="24"/>
          <w:szCs w:val="24"/>
        </w:rPr>
        <w:t>);</w:t>
      </w:r>
      <w:proofErr w:type="gramEnd"/>
      <w:r w:rsidRPr="00D57DFE">
        <w:rPr>
          <w:rFonts w:ascii="Times New Roman" w:hAnsi="Times New Roman" w:cs="Times New Roman"/>
          <w:sz w:val="24"/>
          <w:szCs w:val="24"/>
        </w:rPr>
        <w:t xml:space="preserve">  </w:t>
      </w:r>
    </w:p>
    <w:p w14:paraId="407860CA" w14:textId="77777777" w:rsidR="00361631" w:rsidRDefault="00361631" w:rsidP="00361631">
      <w:pPr>
        <w:pStyle w:val="ListParagraph"/>
        <w:numPr>
          <w:ilvl w:val="0"/>
          <w:numId w:val="29"/>
        </w:numPr>
        <w:spacing w:line="240" w:lineRule="auto"/>
        <w:ind w:left="720"/>
        <w:rPr>
          <w:rFonts w:ascii="Times New Roman" w:hAnsi="Times New Roman" w:cs="Times New Roman"/>
          <w:sz w:val="24"/>
          <w:szCs w:val="24"/>
        </w:rPr>
      </w:pPr>
      <w:r w:rsidRPr="00D57DFE">
        <w:rPr>
          <w:rFonts w:ascii="Times New Roman" w:hAnsi="Times New Roman" w:cs="Times New Roman"/>
          <w:sz w:val="24"/>
          <w:szCs w:val="24"/>
        </w:rPr>
        <w:t xml:space="preserve">Streetscape </w:t>
      </w:r>
      <w:proofErr w:type="gramStart"/>
      <w:r w:rsidRPr="00D57DFE">
        <w:rPr>
          <w:rFonts w:ascii="Times New Roman" w:hAnsi="Times New Roman" w:cs="Times New Roman"/>
          <w:sz w:val="24"/>
          <w:szCs w:val="24"/>
        </w:rPr>
        <w:t>improvements;</w:t>
      </w:r>
      <w:proofErr w:type="gramEnd"/>
      <w:r w:rsidRPr="00D57DFE">
        <w:rPr>
          <w:rFonts w:ascii="Times New Roman" w:hAnsi="Times New Roman" w:cs="Times New Roman"/>
          <w:sz w:val="24"/>
          <w:szCs w:val="24"/>
        </w:rPr>
        <w:t xml:space="preserve"> </w:t>
      </w:r>
    </w:p>
    <w:p w14:paraId="6525FBFF" w14:textId="77777777" w:rsidR="00361631" w:rsidRDefault="00361631" w:rsidP="00361631">
      <w:pPr>
        <w:pStyle w:val="ListParagraph"/>
        <w:numPr>
          <w:ilvl w:val="0"/>
          <w:numId w:val="29"/>
        </w:numPr>
        <w:spacing w:line="240" w:lineRule="auto"/>
        <w:ind w:left="720"/>
        <w:rPr>
          <w:rFonts w:ascii="Times New Roman" w:hAnsi="Times New Roman" w:cs="Times New Roman"/>
          <w:sz w:val="24"/>
          <w:szCs w:val="24"/>
        </w:rPr>
      </w:pPr>
      <w:r w:rsidRPr="00D57DFE">
        <w:rPr>
          <w:rFonts w:ascii="Times New Roman" w:hAnsi="Times New Roman" w:cs="Times New Roman"/>
          <w:sz w:val="24"/>
          <w:szCs w:val="24"/>
        </w:rPr>
        <w:t xml:space="preserve">Public or non-profit housing rehabilitation, housing development financing, residential conversions, and neighborhood revitalization projects, which would increase housing supply and/or improve housing affordability in the local </w:t>
      </w:r>
      <w:proofErr w:type="gramStart"/>
      <w:r w:rsidRPr="00D57DFE">
        <w:rPr>
          <w:rFonts w:ascii="Times New Roman" w:hAnsi="Times New Roman" w:cs="Times New Roman"/>
          <w:sz w:val="24"/>
          <w:szCs w:val="24"/>
        </w:rPr>
        <w:t>community;</w:t>
      </w:r>
      <w:proofErr w:type="gramEnd"/>
      <w:r w:rsidRPr="00D57DFE">
        <w:rPr>
          <w:rFonts w:ascii="Times New Roman" w:hAnsi="Times New Roman" w:cs="Times New Roman"/>
          <w:sz w:val="24"/>
          <w:szCs w:val="24"/>
        </w:rPr>
        <w:t xml:space="preserve"> </w:t>
      </w:r>
    </w:p>
    <w:p w14:paraId="7D4164F0" w14:textId="77777777" w:rsidR="00361631" w:rsidRDefault="00361631" w:rsidP="00361631">
      <w:pPr>
        <w:pStyle w:val="ListParagraph"/>
        <w:numPr>
          <w:ilvl w:val="0"/>
          <w:numId w:val="29"/>
        </w:numPr>
        <w:spacing w:line="240" w:lineRule="auto"/>
        <w:ind w:left="720"/>
        <w:rPr>
          <w:rFonts w:ascii="Times New Roman" w:hAnsi="Times New Roman" w:cs="Times New Roman"/>
          <w:sz w:val="24"/>
          <w:szCs w:val="24"/>
        </w:rPr>
      </w:pPr>
      <w:r w:rsidRPr="00D57DFE">
        <w:rPr>
          <w:rFonts w:ascii="Times New Roman" w:hAnsi="Times New Roman" w:cs="Times New Roman"/>
          <w:sz w:val="24"/>
          <w:szCs w:val="24"/>
        </w:rPr>
        <w:t xml:space="preserve">Projects with a clear economic development benefit, such as workforce training centers and manufacturing </w:t>
      </w:r>
      <w:proofErr w:type="gramStart"/>
      <w:r w:rsidRPr="00D57DFE">
        <w:rPr>
          <w:rFonts w:ascii="Times New Roman" w:hAnsi="Times New Roman" w:cs="Times New Roman"/>
          <w:sz w:val="24"/>
          <w:szCs w:val="24"/>
        </w:rPr>
        <w:t>incubators;</w:t>
      </w:r>
      <w:proofErr w:type="gramEnd"/>
      <w:r w:rsidRPr="00D57DFE">
        <w:rPr>
          <w:rFonts w:ascii="Times New Roman" w:hAnsi="Times New Roman" w:cs="Times New Roman"/>
          <w:sz w:val="24"/>
          <w:szCs w:val="24"/>
        </w:rPr>
        <w:t xml:space="preserve">  </w:t>
      </w:r>
    </w:p>
    <w:p w14:paraId="50CA3C54" w14:textId="77777777" w:rsidR="00361631" w:rsidRDefault="00361631" w:rsidP="00361631">
      <w:pPr>
        <w:pStyle w:val="ListParagraph"/>
        <w:numPr>
          <w:ilvl w:val="0"/>
          <w:numId w:val="29"/>
        </w:numPr>
        <w:spacing w:line="240" w:lineRule="auto"/>
        <w:ind w:left="720"/>
        <w:rPr>
          <w:rFonts w:ascii="Times New Roman" w:hAnsi="Times New Roman" w:cs="Times New Roman"/>
          <w:sz w:val="24"/>
          <w:szCs w:val="24"/>
        </w:rPr>
      </w:pPr>
      <w:r w:rsidRPr="00D57DFE">
        <w:rPr>
          <w:rFonts w:ascii="Times New Roman" w:hAnsi="Times New Roman" w:cs="Times New Roman"/>
          <w:sz w:val="24"/>
          <w:szCs w:val="24"/>
        </w:rPr>
        <w:t xml:space="preserve">Projects that meet a compelling local need consistent with the statutory purposes.  For example, food banks in </w:t>
      </w:r>
      <w:proofErr w:type="gramStart"/>
      <w:r w:rsidRPr="00D57DFE">
        <w:rPr>
          <w:rFonts w:ascii="Times New Roman" w:hAnsi="Times New Roman" w:cs="Times New Roman"/>
          <w:sz w:val="24"/>
          <w:szCs w:val="24"/>
        </w:rPr>
        <w:t>economically disadvantaged</w:t>
      </w:r>
      <w:proofErr w:type="gramEnd"/>
      <w:r w:rsidRPr="00D57DFE">
        <w:rPr>
          <w:rFonts w:ascii="Times New Roman" w:hAnsi="Times New Roman" w:cs="Times New Roman"/>
          <w:sz w:val="24"/>
          <w:szCs w:val="24"/>
        </w:rPr>
        <w:t xml:space="preserve"> neighborhoods, youth and senior centers, and multipurpose community centers. </w:t>
      </w:r>
    </w:p>
    <w:p w14:paraId="79794724" w14:textId="77777777" w:rsidR="00361631" w:rsidRDefault="00361631" w:rsidP="00361631">
      <w:pPr>
        <w:rPr>
          <w:rFonts w:ascii="Times New Roman" w:hAnsi="Times New Roman" w:cs="Times New Roman"/>
          <w:sz w:val="24"/>
          <w:szCs w:val="24"/>
        </w:rPr>
      </w:pPr>
      <w:r w:rsidRPr="00D57DFE">
        <w:rPr>
          <w:rFonts w:ascii="Times New Roman" w:hAnsi="Times New Roman" w:cs="Times New Roman"/>
          <w:sz w:val="24"/>
          <w:szCs w:val="24"/>
        </w:rPr>
        <w:t xml:space="preserve">All projects will be evaluated based on the individual submissions, and projects will be selected based on the merits of the project relative to other projects and the availability of CPF funding. So that Members have the clearest possible guidance on the front end, the following types of projects are not eligible for CPF funding: </w:t>
      </w:r>
    </w:p>
    <w:p w14:paraId="3CAB2E1C" w14:textId="77777777" w:rsidR="00361631" w:rsidRDefault="00361631" w:rsidP="00361631">
      <w:pPr>
        <w:pStyle w:val="ListParagraph"/>
        <w:numPr>
          <w:ilvl w:val="0"/>
          <w:numId w:val="30"/>
        </w:numPr>
        <w:ind w:left="720"/>
        <w:rPr>
          <w:rFonts w:ascii="Times New Roman" w:hAnsi="Times New Roman" w:cs="Times New Roman"/>
          <w:sz w:val="24"/>
          <w:szCs w:val="24"/>
        </w:rPr>
      </w:pPr>
      <w:r w:rsidRPr="00D57DFE">
        <w:rPr>
          <w:rFonts w:ascii="Times New Roman" w:hAnsi="Times New Roman" w:cs="Times New Roman"/>
          <w:sz w:val="24"/>
          <w:szCs w:val="24"/>
        </w:rPr>
        <w:t xml:space="preserve">Museums, commemoratives, memorials; • Swimming pools, water parks, golf </w:t>
      </w:r>
      <w:proofErr w:type="gramStart"/>
      <w:r w:rsidRPr="00D57DFE">
        <w:rPr>
          <w:rFonts w:ascii="Times New Roman" w:hAnsi="Times New Roman" w:cs="Times New Roman"/>
          <w:sz w:val="24"/>
          <w:szCs w:val="24"/>
        </w:rPr>
        <w:t>courses;</w:t>
      </w:r>
      <w:proofErr w:type="gramEnd"/>
      <w:r w:rsidRPr="00D57DFE">
        <w:rPr>
          <w:rFonts w:ascii="Times New Roman" w:hAnsi="Times New Roman" w:cs="Times New Roman"/>
          <w:sz w:val="24"/>
          <w:szCs w:val="24"/>
        </w:rPr>
        <w:t xml:space="preserve">  </w:t>
      </w:r>
    </w:p>
    <w:p w14:paraId="0E14AFBB" w14:textId="77777777" w:rsidR="00361631" w:rsidRDefault="00361631" w:rsidP="00361631">
      <w:pPr>
        <w:pStyle w:val="ListParagraph"/>
        <w:numPr>
          <w:ilvl w:val="0"/>
          <w:numId w:val="30"/>
        </w:numPr>
        <w:ind w:left="720"/>
        <w:rPr>
          <w:rFonts w:ascii="Times New Roman" w:hAnsi="Times New Roman" w:cs="Times New Roman"/>
          <w:sz w:val="24"/>
          <w:szCs w:val="24"/>
        </w:rPr>
      </w:pPr>
      <w:r w:rsidRPr="00D57DFE">
        <w:rPr>
          <w:rFonts w:ascii="Times New Roman" w:hAnsi="Times New Roman" w:cs="Times New Roman"/>
          <w:sz w:val="24"/>
          <w:szCs w:val="24"/>
        </w:rPr>
        <w:t xml:space="preserve">Healthcare </w:t>
      </w:r>
      <w:proofErr w:type="gramStart"/>
      <w:r w:rsidRPr="00D57DFE">
        <w:rPr>
          <w:rFonts w:ascii="Times New Roman" w:hAnsi="Times New Roman" w:cs="Times New Roman"/>
          <w:sz w:val="24"/>
          <w:szCs w:val="24"/>
        </w:rPr>
        <w:t>facilities;</w:t>
      </w:r>
      <w:proofErr w:type="gramEnd"/>
      <w:r w:rsidRPr="00D57DFE">
        <w:rPr>
          <w:rFonts w:ascii="Times New Roman" w:hAnsi="Times New Roman" w:cs="Times New Roman"/>
          <w:sz w:val="24"/>
          <w:szCs w:val="24"/>
        </w:rPr>
        <w:t xml:space="preserve"> </w:t>
      </w:r>
    </w:p>
    <w:p w14:paraId="4AA65E51" w14:textId="77777777" w:rsidR="00361631" w:rsidRDefault="00361631" w:rsidP="00361631">
      <w:pPr>
        <w:pStyle w:val="ListParagraph"/>
        <w:numPr>
          <w:ilvl w:val="0"/>
          <w:numId w:val="30"/>
        </w:numPr>
        <w:ind w:left="720"/>
        <w:rPr>
          <w:rFonts w:ascii="Times New Roman" w:hAnsi="Times New Roman" w:cs="Times New Roman"/>
          <w:sz w:val="24"/>
          <w:szCs w:val="24"/>
        </w:rPr>
      </w:pPr>
      <w:r w:rsidRPr="00D57DFE">
        <w:rPr>
          <w:rFonts w:ascii="Times New Roman" w:hAnsi="Times New Roman" w:cs="Times New Roman"/>
          <w:sz w:val="24"/>
          <w:szCs w:val="24"/>
        </w:rPr>
        <w:t xml:space="preserve">Venues strictly for entertainment purposes – e.g., theaters and performing arts venues.  </w:t>
      </w:r>
    </w:p>
    <w:p w14:paraId="6B7D2AE8" w14:textId="77777777" w:rsidR="00361631" w:rsidRDefault="00361631" w:rsidP="00361631">
      <w:pPr>
        <w:rPr>
          <w:rFonts w:ascii="Times New Roman" w:hAnsi="Times New Roman" w:cs="Times New Roman"/>
          <w:sz w:val="24"/>
          <w:szCs w:val="24"/>
        </w:rPr>
      </w:pPr>
      <w:r w:rsidRPr="00D57DFE">
        <w:rPr>
          <w:rFonts w:ascii="Times New Roman" w:hAnsi="Times New Roman" w:cs="Times New Roman"/>
          <w:sz w:val="24"/>
          <w:szCs w:val="24"/>
        </w:rPr>
        <w:t xml:space="preserve">Due to the statutory restriction on using funds for “buildings for the general conduct of government,” things like courthouses and town halls cannot be funded.  </w:t>
      </w:r>
    </w:p>
    <w:p w14:paraId="31E8A21D" w14:textId="77777777" w:rsidR="00361631" w:rsidRDefault="00361631" w:rsidP="00361631">
      <w:pPr>
        <w:rPr>
          <w:rFonts w:ascii="Times New Roman" w:hAnsi="Times New Roman" w:cs="Times New Roman"/>
          <w:sz w:val="24"/>
          <w:szCs w:val="24"/>
        </w:rPr>
      </w:pPr>
      <w:r w:rsidRPr="00D57DFE">
        <w:rPr>
          <w:rFonts w:ascii="Times New Roman" w:hAnsi="Times New Roman" w:cs="Times New Roman"/>
          <w:sz w:val="24"/>
          <w:szCs w:val="24"/>
        </w:rPr>
        <w:t xml:space="preserve">EDI projects, like all projects funded by HUD, are subject to requirements under the National Environmental Policy Act (NEPA), HUD’s NEPA-implementing regulations at 24 CFR Part 50 or 24 CFR Part 58, and all applicable federal environmental and historic preservation laws, </w:t>
      </w:r>
      <w:r w:rsidRPr="00D57DFE">
        <w:rPr>
          <w:rFonts w:ascii="Times New Roman" w:hAnsi="Times New Roman" w:cs="Times New Roman"/>
          <w:sz w:val="24"/>
          <w:szCs w:val="24"/>
        </w:rPr>
        <w:lastRenderedPageBreak/>
        <w:t xml:space="preserve">regulations, and Executive Orders. An environmental review must be completed before HUD funds and new commitments of non-HUD funds can be used on a project (24 CFR 58.22).  </w:t>
      </w:r>
    </w:p>
    <w:p w14:paraId="494444DA" w14:textId="77777777" w:rsidR="00361631" w:rsidRDefault="00361631" w:rsidP="00361631">
      <w:pPr>
        <w:rPr>
          <w:rFonts w:ascii="Times New Roman" w:hAnsi="Times New Roman" w:cs="Times New Roman"/>
          <w:sz w:val="24"/>
          <w:szCs w:val="24"/>
        </w:rPr>
      </w:pPr>
      <w:r w:rsidRPr="00D57DFE">
        <w:rPr>
          <w:rFonts w:ascii="Times New Roman" w:hAnsi="Times New Roman" w:cs="Times New Roman"/>
          <w:sz w:val="24"/>
          <w:szCs w:val="24"/>
        </w:rPr>
        <w:t xml:space="preserve">In addition to meeting the above eligibility criteria, all projects must meet these Committee requirements: </w:t>
      </w:r>
    </w:p>
    <w:p w14:paraId="5B12336A" w14:textId="77777777" w:rsidR="00361631" w:rsidRDefault="00361631" w:rsidP="00361631">
      <w:pPr>
        <w:pStyle w:val="ListParagraph"/>
        <w:numPr>
          <w:ilvl w:val="0"/>
          <w:numId w:val="31"/>
        </w:numPr>
        <w:ind w:left="720"/>
        <w:rPr>
          <w:rFonts w:ascii="Times New Roman" w:hAnsi="Times New Roman" w:cs="Times New Roman"/>
          <w:sz w:val="24"/>
          <w:szCs w:val="24"/>
        </w:rPr>
      </w:pPr>
      <w:r w:rsidRPr="00D57DFE">
        <w:rPr>
          <w:rFonts w:ascii="Times New Roman" w:hAnsi="Times New Roman" w:cs="Times New Roman"/>
          <w:sz w:val="24"/>
          <w:szCs w:val="24"/>
        </w:rPr>
        <w:t xml:space="preserve">Administered by state, local, or tribal governmental entities or non-profit 501(c)(3) organizations. </w:t>
      </w:r>
    </w:p>
    <w:p w14:paraId="644B49A4" w14:textId="77777777" w:rsidR="00361631" w:rsidRDefault="00361631" w:rsidP="00361631">
      <w:pPr>
        <w:pStyle w:val="ListParagraph"/>
        <w:numPr>
          <w:ilvl w:val="0"/>
          <w:numId w:val="31"/>
        </w:numPr>
        <w:ind w:left="720"/>
        <w:rPr>
          <w:rFonts w:ascii="Times New Roman" w:hAnsi="Times New Roman" w:cs="Times New Roman"/>
          <w:sz w:val="24"/>
          <w:szCs w:val="24"/>
        </w:rPr>
      </w:pPr>
      <w:r w:rsidRPr="00D57DFE">
        <w:rPr>
          <w:rFonts w:ascii="Times New Roman" w:hAnsi="Times New Roman" w:cs="Times New Roman"/>
          <w:sz w:val="24"/>
          <w:szCs w:val="24"/>
        </w:rPr>
        <w:t>As a reminder, for-profit entities are not eligible for Community Project Funding.</w:t>
      </w:r>
    </w:p>
    <w:p w14:paraId="3754F424" w14:textId="77777777" w:rsidR="00361631" w:rsidRDefault="00361631" w:rsidP="00361631">
      <w:pPr>
        <w:pStyle w:val="ListParagraph"/>
        <w:numPr>
          <w:ilvl w:val="1"/>
          <w:numId w:val="31"/>
        </w:numPr>
        <w:ind w:left="1440"/>
        <w:rPr>
          <w:rFonts w:ascii="Times New Roman" w:hAnsi="Times New Roman" w:cs="Times New Roman"/>
          <w:sz w:val="24"/>
          <w:szCs w:val="24"/>
        </w:rPr>
      </w:pPr>
      <w:r w:rsidRPr="00D57DFE">
        <w:rPr>
          <w:rFonts w:ascii="Times New Roman" w:hAnsi="Times New Roman" w:cs="Times New Roman"/>
          <w:sz w:val="24"/>
          <w:szCs w:val="24"/>
        </w:rPr>
        <w:t xml:space="preserve">Members are advised that projects for governmental entities to improve private properties pursuant to 42 U.S.C. 5305(a)(4) will be highly scrutinized and possibly not funded. </w:t>
      </w:r>
    </w:p>
    <w:p w14:paraId="5126E191" w14:textId="77777777" w:rsidR="00361631" w:rsidRDefault="00361631" w:rsidP="00361631">
      <w:pPr>
        <w:pStyle w:val="ListParagraph"/>
        <w:numPr>
          <w:ilvl w:val="0"/>
          <w:numId w:val="31"/>
        </w:numPr>
        <w:ind w:left="720"/>
        <w:rPr>
          <w:rFonts w:ascii="Times New Roman" w:hAnsi="Times New Roman" w:cs="Times New Roman"/>
          <w:sz w:val="24"/>
          <w:szCs w:val="24"/>
        </w:rPr>
      </w:pPr>
      <w:r w:rsidRPr="00D57DFE">
        <w:rPr>
          <w:rFonts w:ascii="Times New Roman" w:hAnsi="Times New Roman" w:cs="Times New Roman"/>
          <w:sz w:val="24"/>
          <w:szCs w:val="24"/>
        </w:rPr>
        <w:t xml:space="preserve">Members are advised that projects submitted under 42 U.S.C. 5305(a)(1)(C) will be disfavored if the only or primary purpose of the project is “beautification” or historic preservation, without evidence of other community development or economic development benefits.   </w:t>
      </w:r>
    </w:p>
    <w:p w14:paraId="5BA8655F" w14:textId="77777777" w:rsidR="00361631" w:rsidRDefault="00361631" w:rsidP="00361631">
      <w:pPr>
        <w:rPr>
          <w:rFonts w:ascii="Times New Roman" w:hAnsi="Times New Roman" w:cs="Times New Roman"/>
          <w:sz w:val="24"/>
          <w:szCs w:val="24"/>
        </w:rPr>
      </w:pPr>
      <w:r w:rsidRPr="00D57DFE">
        <w:rPr>
          <w:rFonts w:ascii="Times New Roman" w:hAnsi="Times New Roman" w:cs="Times New Roman"/>
          <w:sz w:val="24"/>
          <w:szCs w:val="24"/>
        </w:rPr>
        <w:t>EDI projects are not eligible for the reimbursement of expenses for soft costs (planning, administrative) incurred prior to the completion of a grant agreement between HUD and the grantee; a grant agreement and a completed environmental review are necessary for reimbursement of hard costs (construction activities).</w:t>
      </w:r>
    </w:p>
    <w:p w14:paraId="71E76D9E" w14:textId="77777777" w:rsidR="00361631" w:rsidRDefault="00361631" w:rsidP="0083770B">
      <w:pPr>
        <w:spacing w:line="240" w:lineRule="auto"/>
        <w:rPr>
          <w:rStyle w:val="Hyperlink"/>
          <w:rFonts w:ascii="Times New Roman" w:eastAsia="Times New Roman" w:hAnsi="Times New Roman" w:cs="Times New Roman"/>
          <w:sz w:val="24"/>
          <w:szCs w:val="24"/>
        </w:rPr>
      </w:pPr>
      <w:r w:rsidRPr="00C65D18">
        <w:rPr>
          <w:rFonts w:ascii="Times New Roman" w:eastAsia="Times New Roman" w:hAnsi="Times New Roman" w:cs="Times New Roman"/>
          <w:sz w:val="24"/>
          <w:szCs w:val="24"/>
        </w:rPr>
        <w:t xml:space="preserve">Additional guidance with specific information about these accounts is </w:t>
      </w:r>
      <w:hyperlink r:id="rId7" w:history="1">
        <w:r w:rsidRPr="00C65D18">
          <w:rPr>
            <w:rStyle w:val="Hyperlink"/>
            <w:rFonts w:ascii="Times New Roman" w:eastAsia="Times New Roman" w:hAnsi="Times New Roman" w:cs="Times New Roman"/>
            <w:sz w:val="24"/>
            <w:szCs w:val="24"/>
          </w:rPr>
          <w:t>attached</w:t>
        </w:r>
      </w:hyperlink>
      <w:r w:rsidRPr="00C65D18">
        <w:rPr>
          <w:rStyle w:val="Hyperlink"/>
          <w:rFonts w:ascii="Times New Roman" w:eastAsia="Times New Roman" w:hAnsi="Times New Roman" w:cs="Times New Roman"/>
          <w:sz w:val="24"/>
          <w:szCs w:val="24"/>
        </w:rPr>
        <w:t xml:space="preserve">. </w:t>
      </w:r>
    </w:p>
    <w:p w14:paraId="53D6F232" w14:textId="77777777" w:rsidR="00361631" w:rsidRPr="00361631" w:rsidRDefault="00361631" w:rsidP="00361631">
      <w:pPr>
        <w:spacing w:line="240" w:lineRule="auto"/>
        <w:rPr>
          <w:rFonts w:ascii="Times New Roman" w:hAnsi="Times New Roman" w:cs="Times New Roman"/>
          <w:sz w:val="24"/>
          <w:szCs w:val="24"/>
        </w:rPr>
      </w:pPr>
      <w:r w:rsidRPr="00361631">
        <w:rPr>
          <w:rFonts w:ascii="Times New Roman" w:hAnsi="Times New Roman" w:cs="Times New Roman"/>
          <w:sz w:val="24"/>
          <w:szCs w:val="24"/>
        </w:rPr>
        <w:t>Staff Contact: Victoria Honard (</w:t>
      </w:r>
      <w:hyperlink r:id="rId8" w:history="1">
        <w:r w:rsidRPr="00361631">
          <w:rPr>
            <w:rStyle w:val="Hyperlink"/>
            <w:rFonts w:ascii="Times New Roman" w:hAnsi="Times New Roman" w:cs="Times New Roman"/>
            <w:sz w:val="24"/>
            <w:szCs w:val="24"/>
          </w:rPr>
          <w:t>Victoria.honard@mail.house.gov</w:t>
        </w:r>
      </w:hyperlink>
      <w:r w:rsidRPr="00361631">
        <w:rPr>
          <w:rFonts w:ascii="Times New Roman" w:hAnsi="Times New Roman" w:cs="Times New Roman"/>
          <w:sz w:val="24"/>
          <w:szCs w:val="24"/>
        </w:rPr>
        <w:t xml:space="preserve">)  </w:t>
      </w:r>
    </w:p>
    <w:p w14:paraId="3A33E65F" w14:textId="086CDFEB" w:rsidR="0083770B" w:rsidRPr="0083770B" w:rsidRDefault="0083770B" w:rsidP="0083770B">
      <w:pPr>
        <w:spacing w:line="240" w:lineRule="auto"/>
        <w:rPr>
          <w:rFonts w:ascii="Times New Roman" w:hAnsi="Times New Roman" w:cs="Times New Roman"/>
          <w:sz w:val="24"/>
          <w:szCs w:val="24"/>
        </w:rPr>
      </w:pPr>
    </w:p>
    <w:p w14:paraId="7419ACE4" w14:textId="77777777" w:rsidR="0083770B" w:rsidRDefault="0083770B" w:rsidP="0083770B">
      <w:pPr>
        <w:pStyle w:val="ListParagraph"/>
        <w:spacing w:line="240" w:lineRule="auto"/>
        <w:rPr>
          <w:rFonts w:ascii="Times New Roman" w:hAnsi="Times New Roman" w:cs="Times New Roman"/>
          <w:sz w:val="24"/>
          <w:szCs w:val="24"/>
        </w:rPr>
      </w:pPr>
    </w:p>
    <w:p w14:paraId="5D0B2E7B" w14:textId="77777777" w:rsidR="00216943" w:rsidRDefault="00216943">
      <w:pPr>
        <w:rPr>
          <w:rFonts w:ascii="Times New Roman" w:eastAsia="Times New Roman" w:hAnsi="Times New Roman" w:cs="Times New Roman"/>
          <w:sz w:val="24"/>
          <w:szCs w:val="24"/>
        </w:rPr>
      </w:pPr>
    </w:p>
    <w:p w14:paraId="5C35FEDA" w14:textId="6F1D5DC2"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lastRenderedPageBreak/>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w:t>
      </w:r>
      <w:proofErr w:type="gramStart"/>
      <w:r w:rsidRPr="00C55CC4">
        <w:rPr>
          <w:rFonts w:ascii="Times New Roman" w:hAnsi="Times New Roman" w:cs="Times New Roman"/>
          <w:sz w:val="24"/>
          <w:szCs w:val="24"/>
        </w:rPr>
        <w:t>request</w:t>
      </w:r>
      <w:proofErr w:type="gramEnd"/>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 xml:space="preserve">We strongly encourage you to submit </w:t>
      </w:r>
      <w:proofErr w:type="gramStart"/>
      <w:r w:rsidR="0047526C" w:rsidRPr="00C55CC4">
        <w:rPr>
          <w:rFonts w:ascii="Times New Roman" w:hAnsi="Times New Roman" w:cs="Times New Roman"/>
          <w:sz w:val="24"/>
          <w:szCs w:val="24"/>
        </w:rPr>
        <w:t>all of</w:t>
      </w:r>
      <w:proofErr w:type="gramEnd"/>
      <w:r w:rsidR="0047526C" w:rsidRPr="00C55CC4">
        <w:rPr>
          <w:rFonts w:ascii="Times New Roman" w:hAnsi="Times New Roman" w:cs="Times New Roman"/>
          <w:sz w:val="24"/>
          <w:szCs w:val="24"/>
        </w:rPr>
        <w:t xml:space="preserve">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Name of the project or program to be </w:t>
      </w:r>
      <w:proofErr w:type="gramStart"/>
      <w:r>
        <w:rPr>
          <w:rFonts w:ascii="Times New Roman" w:hAnsi="Times New Roman" w:cs="Times New Roman"/>
          <w:sz w:val="24"/>
          <w:szCs w:val="24"/>
        </w:rPr>
        <w:t>funded</w:t>
      </w:r>
      <w:proofErr w:type="gramEnd"/>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Amount </w:t>
      </w:r>
      <w:proofErr w:type="gramStart"/>
      <w:r>
        <w:rPr>
          <w:rFonts w:ascii="Times New Roman" w:hAnsi="Times New Roman" w:cs="Times New Roman"/>
          <w:sz w:val="24"/>
          <w:szCs w:val="24"/>
        </w:rPr>
        <w:t>request</w:t>
      </w:r>
      <w:r w:rsidR="005F07A6">
        <w:rPr>
          <w:rFonts w:ascii="Times New Roman" w:hAnsi="Times New Roman" w:cs="Times New Roman"/>
          <w:sz w:val="24"/>
          <w:szCs w:val="24"/>
        </w:rPr>
        <w:t>ed</w:t>
      </w:r>
      <w:proofErr w:type="gramEnd"/>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1D69B980" w14:textId="77777777" w:rsidR="00A90091" w:rsidRDefault="00A90091" w:rsidP="00F47315">
      <w:pPr>
        <w:spacing w:after="0"/>
        <w:rPr>
          <w:rFonts w:ascii="Times New Roman" w:hAnsi="Times New Roman" w:cs="Times New Roman"/>
          <w:b/>
          <w:bCs/>
          <w:sz w:val="28"/>
          <w:szCs w:val="28"/>
        </w:rPr>
      </w:pPr>
    </w:p>
    <w:p w14:paraId="611A0015" w14:textId="77777777" w:rsidR="00A90091" w:rsidRDefault="00A90091" w:rsidP="00F47315">
      <w:pPr>
        <w:spacing w:after="0"/>
        <w:rPr>
          <w:rFonts w:ascii="Times New Roman" w:hAnsi="Times New Roman" w:cs="Times New Roman"/>
          <w:b/>
          <w:bCs/>
          <w:sz w:val="28"/>
          <w:szCs w:val="28"/>
        </w:rPr>
      </w:pPr>
    </w:p>
    <w:p w14:paraId="0D2774BA" w14:textId="7BFE2D3A"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1F41508D" w:rsidR="00F47315" w:rsidRPr="00304425" w:rsidRDefault="00F71E84" w:rsidP="0030442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HUD Community Development Fund – Economic Development Initiative: </w:t>
      </w:r>
    </w:p>
    <w:p w14:paraId="6429B72A" w14:textId="77777777" w:rsidR="00F71E84" w:rsidRPr="00F71E84" w:rsidRDefault="00F71E84" w:rsidP="00F71E84">
      <w:pPr>
        <w:pStyle w:val="ListParagraph"/>
        <w:numPr>
          <w:ilvl w:val="0"/>
          <w:numId w:val="24"/>
        </w:numPr>
        <w:rPr>
          <w:rFonts w:ascii="Times New Roman" w:hAnsi="Times New Roman" w:cs="Times New Roman"/>
          <w:i/>
          <w:iCs/>
          <w:sz w:val="24"/>
          <w:szCs w:val="24"/>
        </w:rPr>
      </w:pPr>
      <w:r w:rsidRPr="00F71E84">
        <w:rPr>
          <w:rFonts w:ascii="Times New Roman" w:hAnsi="Times New Roman" w:cs="Times New Roman"/>
          <w:sz w:val="24"/>
          <w:szCs w:val="24"/>
        </w:rPr>
        <w:t xml:space="preserve">Project Name.  A short name by which the project may be identified, including a very brief description of what the funds will be used for and the project’s location (city, county, State, Congressional District, or Tribe). NOTE: This description may be used to list the project in the House report and should be as accurate as possible to ensure that the funding goes to the correct project and location.  </w:t>
      </w:r>
      <w:r w:rsidRPr="00F71E84">
        <w:rPr>
          <w:rFonts w:ascii="Times New Roman" w:hAnsi="Times New Roman" w:cs="Times New Roman"/>
          <w:i/>
          <w:iCs/>
          <w:sz w:val="24"/>
          <w:szCs w:val="24"/>
        </w:rPr>
        <w:t>EXAMPLE: Sturgis Downtown Revitalization. City of Sturgis, St. Joseph County, Michigan, 6th Congressional District).</w:t>
      </w:r>
    </w:p>
    <w:p w14:paraId="479474BF" w14:textId="77777777" w:rsidR="00F71E84" w:rsidRPr="00F71E84" w:rsidRDefault="00F71E84" w:rsidP="00F71E84">
      <w:pPr>
        <w:pStyle w:val="ListParagraph"/>
        <w:rPr>
          <w:rFonts w:ascii="Times New Roman" w:hAnsi="Times New Roman" w:cs="Times New Roman"/>
          <w:i/>
          <w:iCs/>
          <w:sz w:val="24"/>
          <w:szCs w:val="24"/>
        </w:rPr>
      </w:pPr>
    </w:p>
    <w:p w14:paraId="52C8DCAB" w14:textId="77777777" w:rsidR="00F71E84" w:rsidRPr="00F71E84" w:rsidRDefault="00F71E84" w:rsidP="00F71E84">
      <w:pPr>
        <w:pStyle w:val="ListParagraph"/>
        <w:numPr>
          <w:ilvl w:val="0"/>
          <w:numId w:val="24"/>
        </w:numPr>
        <w:rPr>
          <w:rFonts w:ascii="Times New Roman" w:hAnsi="Times New Roman" w:cs="Times New Roman"/>
          <w:i/>
          <w:iCs/>
          <w:sz w:val="24"/>
          <w:szCs w:val="24"/>
        </w:rPr>
      </w:pPr>
      <w:r w:rsidRPr="00F71E84">
        <w:rPr>
          <w:rFonts w:ascii="Times New Roman" w:hAnsi="Times New Roman" w:cs="Times New Roman"/>
          <w:sz w:val="24"/>
          <w:szCs w:val="24"/>
        </w:rPr>
        <w:t xml:space="preserve">General description of the project and why it is needed. </w:t>
      </w:r>
      <w:r w:rsidRPr="00F71E84">
        <w:rPr>
          <w:rFonts w:ascii="Times New Roman" w:hAnsi="Times New Roman" w:cs="Times New Roman"/>
          <w:i/>
          <w:iCs/>
          <w:sz w:val="24"/>
          <w:szCs w:val="24"/>
        </w:rPr>
        <w:t xml:space="preserve">EXAMPLE: This project will provide infrastructure needed to support downtown expansion, including housing developments in downtown Sturgis. Core components include parking lot reconstruction, alleyway accessibility/beautification upgrades (including a trailhead for a future non-motorized trail), storm sewer improvements, and electrical utility work (moving electrical lines underground). The project </w:t>
      </w:r>
      <w:proofErr w:type="gramStart"/>
      <w:r w:rsidRPr="00F71E84">
        <w:rPr>
          <w:rFonts w:ascii="Times New Roman" w:hAnsi="Times New Roman" w:cs="Times New Roman"/>
          <w:i/>
          <w:iCs/>
          <w:sz w:val="24"/>
          <w:szCs w:val="24"/>
        </w:rPr>
        <w:t>is located in</w:t>
      </w:r>
      <w:proofErr w:type="gramEnd"/>
      <w:r w:rsidRPr="00F71E84">
        <w:rPr>
          <w:rFonts w:ascii="Times New Roman" w:hAnsi="Times New Roman" w:cs="Times New Roman"/>
          <w:i/>
          <w:iCs/>
          <w:sz w:val="24"/>
          <w:szCs w:val="24"/>
        </w:rPr>
        <w:t xml:space="preserve"> a Qualified Census Tract, traditional downtown, and will lessen financial burden on downtown property owners hit hard by economic circumstances that would otherwise have to cover higher project costs for parking lot work by way of a special assessment. The project is aligned to the city's recent placemaking efforts (added downtown firepit, public art, plaza/streetscape walkway, etc.). The City of Sturgis is confident the project is shovel ready and could be completed within the identified project period.</w:t>
      </w:r>
    </w:p>
    <w:p w14:paraId="7EC65E8A" w14:textId="77777777" w:rsidR="00F71E84" w:rsidRPr="00F71E84" w:rsidRDefault="00F71E84" w:rsidP="00F71E84">
      <w:pPr>
        <w:pStyle w:val="ListParagraph"/>
        <w:rPr>
          <w:rFonts w:ascii="Times New Roman" w:hAnsi="Times New Roman" w:cs="Times New Roman"/>
          <w:sz w:val="24"/>
          <w:szCs w:val="24"/>
        </w:rPr>
      </w:pPr>
    </w:p>
    <w:p w14:paraId="025D18EE" w14:textId="77777777" w:rsidR="00F71E84" w:rsidRPr="00F71E84" w:rsidRDefault="00F71E84" w:rsidP="00F71E84">
      <w:pPr>
        <w:pStyle w:val="ListParagraph"/>
        <w:numPr>
          <w:ilvl w:val="0"/>
          <w:numId w:val="24"/>
        </w:numPr>
        <w:rPr>
          <w:rFonts w:ascii="Times New Roman" w:hAnsi="Times New Roman" w:cs="Times New Roman"/>
          <w:i/>
          <w:iCs/>
          <w:sz w:val="24"/>
          <w:szCs w:val="24"/>
        </w:rPr>
      </w:pPr>
      <w:r w:rsidRPr="00F71E84">
        <w:rPr>
          <w:rFonts w:ascii="Times New Roman" w:hAnsi="Times New Roman" w:cs="Times New Roman"/>
          <w:sz w:val="24"/>
          <w:szCs w:val="24"/>
        </w:rPr>
        <w:lastRenderedPageBreak/>
        <w:t xml:space="preserve">What are the benefits of this project and why is it a priority? </w:t>
      </w:r>
      <w:r w:rsidRPr="00F71E84">
        <w:rPr>
          <w:rFonts w:ascii="Times New Roman" w:hAnsi="Times New Roman" w:cs="Times New Roman"/>
          <w:i/>
          <w:iCs/>
          <w:sz w:val="24"/>
          <w:szCs w:val="24"/>
        </w:rPr>
        <w:t>EXAMPLE: Downtown Sturgis is at a critical tipping point. Despite the challenges over the past two years related to the pandemic, the downtown is seeing an uptick in potential development projects, including a large-scale housing development. These projects will create an increased demand for parking and public amenities to make downtown Sturgis a destination of choice. The city is seeking to capitalize on this momentum to not only address needed infrastructure but also to create a vibrant central business district with the inclusion of a food truck court and trailhead.</w:t>
      </w:r>
      <w:r w:rsidRPr="00F71E84">
        <w:rPr>
          <w:rFonts w:ascii="Times New Roman" w:hAnsi="Times New Roman" w:cs="Times New Roman"/>
          <w:sz w:val="24"/>
          <w:szCs w:val="24"/>
        </w:rPr>
        <w:t xml:space="preserve"> </w:t>
      </w:r>
    </w:p>
    <w:p w14:paraId="48920C0C" w14:textId="77777777" w:rsidR="00F71E84" w:rsidRPr="00F71E84" w:rsidRDefault="00F71E84" w:rsidP="00F71E84">
      <w:pPr>
        <w:pStyle w:val="ListParagraph"/>
        <w:rPr>
          <w:rFonts w:ascii="Times New Roman" w:hAnsi="Times New Roman" w:cs="Times New Roman"/>
          <w:sz w:val="24"/>
          <w:szCs w:val="24"/>
        </w:rPr>
      </w:pPr>
    </w:p>
    <w:p w14:paraId="62CEC965" w14:textId="77777777" w:rsidR="00F71E84" w:rsidRPr="00F71E84" w:rsidRDefault="00F71E84" w:rsidP="00F71E84">
      <w:pPr>
        <w:pStyle w:val="ListParagraph"/>
        <w:numPr>
          <w:ilvl w:val="0"/>
          <w:numId w:val="24"/>
        </w:numPr>
        <w:rPr>
          <w:rFonts w:ascii="Times New Roman" w:hAnsi="Times New Roman" w:cs="Times New Roman"/>
          <w:i/>
          <w:iCs/>
          <w:sz w:val="24"/>
          <w:szCs w:val="24"/>
        </w:rPr>
      </w:pPr>
      <w:r w:rsidRPr="00F71E84">
        <w:rPr>
          <w:rFonts w:ascii="Times New Roman" w:hAnsi="Times New Roman" w:cs="Times New Roman"/>
          <w:sz w:val="24"/>
          <w:szCs w:val="24"/>
        </w:rPr>
        <w:t xml:space="preserve">Amount requested for the Community Project Funding and the total project cost. </w:t>
      </w:r>
    </w:p>
    <w:p w14:paraId="3211171C" w14:textId="77777777" w:rsidR="00F71E84" w:rsidRPr="00F71E84" w:rsidRDefault="00F71E84" w:rsidP="00F71E84">
      <w:pPr>
        <w:pStyle w:val="ListParagraph"/>
        <w:rPr>
          <w:rFonts w:ascii="Times New Roman" w:hAnsi="Times New Roman" w:cs="Times New Roman"/>
          <w:sz w:val="24"/>
          <w:szCs w:val="24"/>
        </w:rPr>
      </w:pPr>
    </w:p>
    <w:p w14:paraId="20B75050" w14:textId="77777777" w:rsidR="00F71E84" w:rsidRPr="00F71E84" w:rsidRDefault="00F71E84" w:rsidP="00F71E84">
      <w:pPr>
        <w:pStyle w:val="ListParagraph"/>
        <w:numPr>
          <w:ilvl w:val="0"/>
          <w:numId w:val="24"/>
        </w:numPr>
        <w:rPr>
          <w:rFonts w:ascii="Times New Roman" w:hAnsi="Times New Roman" w:cs="Times New Roman"/>
          <w:i/>
          <w:iCs/>
          <w:sz w:val="24"/>
          <w:szCs w:val="24"/>
        </w:rPr>
      </w:pPr>
      <w:r w:rsidRPr="00F71E84">
        <w:rPr>
          <w:rFonts w:ascii="Times New Roman" w:hAnsi="Times New Roman" w:cs="Times New Roman"/>
          <w:sz w:val="24"/>
          <w:szCs w:val="24"/>
        </w:rPr>
        <w:t xml:space="preserve">Who are the community partners participating in this project? </w:t>
      </w:r>
    </w:p>
    <w:p w14:paraId="3390C93B" w14:textId="77777777" w:rsidR="00F71E84" w:rsidRPr="00F71E84" w:rsidRDefault="00F71E84" w:rsidP="00F71E84">
      <w:pPr>
        <w:pStyle w:val="ListParagraph"/>
        <w:rPr>
          <w:rFonts w:ascii="Times New Roman" w:hAnsi="Times New Roman" w:cs="Times New Roman"/>
          <w:sz w:val="24"/>
          <w:szCs w:val="24"/>
        </w:rPr>
      </w:pPr>
    </w:p>
    <w:p w14:paraId="418BF816" w14:textId="77777777" w:rsidR="00F71E84" w:rsidRPr="00F71E84" w:rsidRDefault="00F71E84" w:rsidP="00F71E84">
      <w:pPr>
        <w:pStyle w:val="ListParagraph"/>
        <w:numPr>
          <w:ilvl w:val="0"/>
          <w:numId w:val="24"/>
        </w:numPr>
        <w:rPr>
          <w:rFonts w:ascii="Times New Roman" w:hAnsi="Times New Roman" w:cs="Times New Roman"/>
          <w:i/>
          <w:iCs/>
          <w:sz w:val="24"/>
          <w:szCs w:val="24"/>
        </w:rPr>
      </w:pPr>
      <w:r w:rsidRPr="00F71E84">
        <w:rPr>
          <w:rFonts w:ascii="Times New Roman" w:hAnsi="Times New Roman" w:cs="Times New Roman"/>
          <w:sz w:val="24"/>
          <w:szCs w:val="24"/>
        </w:rPr>
        <w:t>Have local community development organizations with prior experience with HUD programs been consulted?</w:t>
      </w:r>
      <w:r>
        <w:rPr>
          <w:rFonts w:ascii="Times New Roman" w:hAnsi="Times New Roman" w:cs="Times New Roman"/>
          <w:sz w:val="24"/>
          <w:szCs w:val="24"/>
        </w:rPr>
        <w:t xml:space="preserve"> </w:t>
      </w:r>
    </w:p>
    <w:p w14:paraId="31B94DF1" w14:textId="77777777" w:rsidR="00F71E84" w:rsidRPr="00F71E84" w:rsidRDefault="00F71E84" w:rsidP="00F71E84">
      <w:pPr>
        <w:pStyle w:val="ListParagraph"/>
        <w:rPr>
          <w:rFonts w:ascii="Times New Roman" w:hAnsi="Times New Roman" w:cs="Times New Roman"/>
          <w:sz w:val="24"/>
          <w:szCs w:val="24"/>
        </w:rPr>
      </w:pPr>
    </w:p>
    <w:p w14:paraId="64F39CC6" w14:textId="183843C1" w:rsidR="00F71E84" w:rsidRPr="00F71E84" w:rsidRDefault="00F71E84" w:rsidP="00F71E84">
      <w:pPr>
        <w:pStyle w:val="ListParagraph"/>
        <w:numPr>
          <w:ilvl w:val="0"/>
          <w:numId w:val="24"/>
        </w:numPr>
        <w:rPr>
          <w:rFonts w:ascii="Times New Roman" w:hAnsi="Times New Roman" w:cs="Times New Roman"/>
          <w:i/>
          <w:iCs/>
          <w:sz w:val="24"/>
          <w:szCs w:val="24"/>
        </w:rPr>
      </w:pPr>
      <w:r w:rsidRPr="00F71E84">
        <w:rPr>
          <w:rFonts w:ascii="Times New Roman" w:hAnsi="Times New Roman" w:cs="Times New Roman"/>
          <w:sz w:val="24"/>
          <w:szCs w:val="24"/>
        </w:rPr>
        <w:t xml:space="preserve">Has the request been submitted to another </w:t>
      </w:r>
      <w:r>
        <w:rPr>
          <w:rFonts w:ascii="Times New Roman" w:hAnsi="Times New Roman" w:cs="Times New Roman"/>
          <w:sz w:val="24"/>
          <w:szCs w:val="24"/>
        </w:rPr>
        <w:t>Subcommittee or Committee this fiscal year? If yes, which one(s)?</w:t>
      </w:r>
    </w:p>
    <w:p w14:paraId="3EBB7122" w14:textId="77777777" w:rsidR="00F71E84" w:rsidRPr="00F71E84" w:rsidRDefault="00F71E84" w:rsidP="00F71E84">
      <w:pPr>
        <w:pStyle w:val="ListParagraph"/>
        <w:rPr>
          <w:rFonts w:ascii="Times New Roman" w:hAnsi="Times New Roman" w:cs="Times New Roman"/>
          <w:i/>
          <w:iCs/>
          <w:sz w:val="24"/>
          <w:szCs w:val="24"/>
        </w:rPr>
      </w:pPr>
    </w:p>
    <w:p w14:paraId="6807907C" w14:textId="569C33D3" w:rsidR="001B2F8E" w:rsidRPr="00102A3D" w:rsidRDefault="00F71E84" w:rsidP="00F71E84">
      <w:pPr>
        <w:pStyle w:val="ListParagraph"/>
        <w:numPr>
          <w:ilvl w:val="0"/>
          <w:numId w:val="24"/>
        </w:numPr>
        <w:rPr>
          <w:rFonts w:ascii="Times New Roman" w:hAnsi="Times New Roman" w:cs="Times New Roman"/>
          <w:i/>
          <w:iCs/>
          <w:sz w:val="24"/>
          <w:szCs w:val="24"/>
        </w:rPr>
      </w:pPr>
      <w:r w:rsidRPr="00F71E84">
        <w:rPr>
          <w:rFonts w:ascii="Times New Roman" w:hAnsi="Times New Roman" w:cs="Times New Roman"/>
          <w:sz w:val="24"/>
          <w:szCs w:val="24"/>
        </w:rPr>
        <w:t>Is th</w:t>
      </w:r>
      <w:r>
        <w:rPr>
          <w:rFonts w:ascii="Times New Roman" w:hAnsi="Times New Roman" w:cs="Times New Roman"/>
          <w:sz w:val="24"/>
          <w:szCs w:val="24"/>
        </w:rPr>
        <w:t>e</w:t>
      </w:r>
      <w:r w:rsidRPr="00F71E84">
        <w:rPr>
          <w:rFonts w:ascii="Times New Roman" w:hAnsi="Times New Roman" w:cs="Times New Roman"/>
          <w:sz w:val="24"/>
          <w:szCs w:val="24"/>
        </w:rPr>
        <w:t xml:space="preserve"> project consistent with the primary objective of the community development program</w:t>
      </w:r>
      <w:r>
        <w:rPr>
          <w:rFonts w:ascii="Times New Roman" w:hAnsi="Times New Roman" w:cs="Times New Roman"/>
          <w:sz w:val="24"/>
          <w:szCs w:val="24"/>
        </w:rPr>
        <w:t>?</w:t>
      </w:r>
      <w:r w:rsidRPr="00F71E84">
        <w:rPr>
          <w:rFonts w:ascii="Times New Roman" w:hAnsi="Times New Roman" w:cs="Times New Roman"/>
          <w:sz w:val="24"/>
          <w:szCs w:val="24"/>
        </w:rPr>
        <w:t xml:space="preserve"> Please describe who the project is intended to benefit</w:t>
      </w:r>
      <w:r>
        <w:rPr>
          <w:rFonts w:ascii="Times New Roman" w:hAnsi="Times New Roman" w:cs="Times New Roman"/>
          <w:sz w:val="24"/>
          <w:szCs w:val="24"/>
        </w:rPr>
        <w:t>.</w:t>
      </w:r>
    </w:p>
    <w:sectPr w:rsidR="001B2F8E" w:rsidRPr="00102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1B6"/>
    <w:multiLevelType w:val="hybridMultilevel"/>
    <w:tmpl w:val="ABD499C8"/>
    <w:lvl w:ilvl="0" w:tplc="C5AAC7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9A1814"/>
    <w:multiLevelType w:val="hybridMultilevel"/>
    <w:tmpl w:val="D95676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772E4"/>
    <w:multiLevelType w:val="hybridMultilevel"/>
    <w:tmpl w:val="BCCC55DE"/>
    <w:lvl w:ilvl="0" w:tplc="906A9B8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4DB14A5"/>
    <w:multiLevelType w:val="hybridMultilevel"/>
    <w:tmpl w:val="4170E5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2102C4"/>
    <w:multiLevelType w:val="hybridMultilevel"/>
    <w:tmpl w:val="915273B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C447A"/>
    <w:multiLevelType w:val="hybridMultilevel"/>
    <w:tmpl w:val="0210701C"/>
    <w:lvl w:ilvl="0" w:tplc="04090001">
      <w:start w:val="1"/>
      <w:numFmt w:val="bullet"/>
      <w:lvlText w:val=""/>
      <w:lvlJc w:val="left"/>
      <w:pPr>
        <w:ind w:left="720" w:hanging="360"/>
      </w:pPr>
      <w:rPr>
        <w:rFonts w:ascii="Symbol" w:hAnsi="Symbol" w:hint="default"/>
      </w:rPr>
    </w:lvl>
    <w:lvl w:ilvl="1" w:tplc="C5AAC72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C71F2"/>
    <w:multiLevelType w:val="hybridMultilevel"/>
    <w:tmpl w:val="5A526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CAF5540"/>
    <w:multiLevelType w:val="hybridMultilevel"/>
    <w:tmpl w:val="9490C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278F7"/>
    <w:multiLevelType w:val="hybridMultilevel"/>
    <w:tmpl w:val="DD14F7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27308"/>
    <w:multiLevelType w:val="hybridMultilevel"/>
    <w:tmpl w:val="48BA7E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3"/>
  </w:num>
  <w:num w:numId="4" w16cid:durableId="234321036">
    <w:abstractNumId w:val="11"/>
  </w:num>
  <w:num w:numId="5" w16cid:durableId="1350641159">
    <w:abstractNumId w:val="14"/>
  </w:num>
  <w:num w:numId="6" w16cid:durableId="1376584237">
    <w:abstractNumId w:val="25"/>
  </w:num>
  <w:num w:numId="7" w16cid:durableId="1820800465">
    <w:abstractNumId w:val="20"/>
  </w:num>
  <w:num w:numId="8" w16cid:durableId="2033677063">
    <w:abstractNumId w:val="23"/>
  </w:num>
  <w:num w:numId="9" w16cid:durableId="1543439938">
    <w:abstractNumId w:val="28"/>
  </w:num>
  <w:num w:numId="10" w16cid:durableId="1404253040">
    <w:abstractNumId w:val="9"/>
  </w:num>
  <w:num w:numId="11" w16cid:durableId="2121488735">
    <w:abstractNumId w:val="2"/>
  </w:num>
  <w:num w:numId="12" w16cid:durableId="657736255">
    <w:abstractNumId w:val="6"/>
  </w:num>
  <w:num w:numId="13" w16cid:durableId="1380667051">
    <w:abstractNumId w:val="8"/>
  </w:num>
  <w:num w:numId="14" w16cid:durableId="170535959">
    <w:abstractNumId w:val="5"/>
  </w:num>
  <w:num w:numId="15" w16cid:durableId="1409309928">
    <w:abstractNumId w:val="27"/>
  </w:num>
  <w:num w:numId="16" w16cid:durableId="2324680">
    <w:abstractNumId w:val="1"/>
  </w:num>
  <w:num w:numId="17" w16cid:durableId="1096441236">
    <w:abstractNumId w:val="7"/>
  </w:num>
  <w:num w:numId="18" w16cid:durableId="786629760">
    <w:abstractNumId w:val="13"/>
  </w:num>
  <w:num w:numId="19" w16cid:durableId="1332635359">
    <w:abstractNumId w:val="18"/>
  </w:num>
  <w:num w:numId="20" w16cid:durableId="1294363112">
    <w:abstractNumId w:val="4"/>
  </w:num>
  <w:num w:numId="21" w16cid:durableId="1082213829">
    <w:abstractNumId w:val="29"/>
  </w:num>
  <w:num w:numId="22" w16cid:durableId="983850683">
    <w:abstractNumId w:val="21"/>
  </w:num>
  <w:num w:numId="23" w16cid:durableId="21249349">
    <w:abstractNumId w:val="22"/>
  </w:num>
  <w:num w:numId="24" w16cid:durableId="1197741498">
    <w:abstractNumId w:val="12"/>
  </w:num>
  <w:num w:numId="25" w16cid:durableId="1670475954">
    <w:abstractNumId w:val="19"/>
  </w:num>
  <w:num w:numId="26" w16cid:durableId="987826810">
    <w:abstractNumId w:val="0"/>
  </w:num>
  <w:num w:numId="27" w16cid:durableId="1132362646">
    <w:abstractNumId w:val="26"/>
  </w:num>
  <w:num w:numId="28" w16cid:durableId="1545214154">
    <w:abstractNumId w:val="16"/>
  </w:num>
  <w:num w:numId="29" w16cid:durableId="1836606505">
    <w:abstractNumId w:val="10"/>
  </w:num>
  <w:num w:numId="30" w16cid:durableId="1432167914">
    <w:abstractNumId w:val="24"/>
  </w:num>
  <w:num w:numId="31" w16cid:durableId="9742154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32E57"/>
    <w:rsid w:val="00080D43"/>
    <w:rsid w:val="00092A91"/>
    <w:rsid w:val="000C0931"/>
    <w:rsid w:val="000F2A45"/>
    <w:rsid w:val="00102A3D"/>
    <w:rsid w:val="001043DB"/>
    <w:rsid w:val="0010617E"/>
    <w:rsid w:val="00163C8A"/>
    <w:rsid w:val="00181185"/>
    <w:rsid w:val="001B2F8E"/>
    <w:rsid w:val="001E3815"/>
    <w:rsid w:val="00216943"/>
    <w:rsid w:val="00266DB7"/>
    <w:rsid w:val="00286F88"/>
    <w:rsid w:val="002C2306"/>
    <w:rsid w:val="002D7BA5"/>
    <w:rsid w:val="002F43E7"/>
    <w:rsid w:val="00304425"/>
    <w:rsid w:val="003143C3"/>
    <w:rsid w:val="00326E5C"/>
    <w:rsid w:val="003316FC"/>
    <w:rsid w:val="003418CB"/>
    <w:rsid w:val="00352FEB"/>
    <w:rsid w:val="00361631"/>
    <w:rsid w:val="003726D5"/>
    <w:rsid w:val="003D5E53"/>
    <w:rsid w:val="003E01F1"/>
    <w:rsid w:val="003F34F6"/>
    <w:rsid w:val="00421D57"/>
    <w:rsid w:val="00425930"/>
    <w:rsid w:val="00434473"/>
    <w:rsid w:val="00452F94"/>
    <w:rsid w:val="0046223E"/>
    <w:rsid w:val="0047526C"/>
    <w:rsid w:val="004A48C3"/>
    <w:rsid w:val="00521AF3"/>
    <w:rsid w:val="005255DB"/>
    <w:rsid w:val="00530280"/>
    <w:rsid w:val="005409F5"/>
    <w:rsid w:val="0055499A"/>
    <w:rsid w:val="00572BC7"/>
    <w:rsid w:val="0059749F"/>
    <w:rsid w:val="005A622D"/>
    <w:rsid w:val="005F07A6"/>
    <w:rsid w:val="00640AE8"/>
    <w:rsid w:val="00665F72"/>
    <w:rsid w:val="006C0D48"/>
    <w:rsid w:val="006E2CCC"/>
    <w:rsid w:val="006E5C84"/>
    <w:rsid w:val="006F78C3"/>
    <w:rsid w:val="00714D57"/>
    <w:rsid w:val="007237B4"/>
    <w:rsid w:val="00756B38"/>
    <w:rsid w:val="0079322B"/>
    <w:rsid w:val="007B3077"/>
    <w:rsid w:val="007D42F9"/>
    <w:rsid w:val="00817CA8"/>
    <w:rsid w:val="00835AAF"/>
    <w:rsid w:val="0083679C"/>
    <w:rsid w:val="0083770B"/>
    <w:rsid w:val="00852555"/>
    <w:rsid w:val="00865EFA"/>
    <w:rsid w:val="008F41FB"/>
    <w:rsid w:val="008F5E55"/>
    <w:rsid w:val="008F62A5"/>
    <w:rsid w:val="00951484"/>
    <w:rsid w:val="00953B0C"/>
    <w:rsid w:val="00976E2C"/>
    <w:rsid w:val="009A0FA6"/>
    <w:rsid w:val="009C2CD1"/>
    <w:rsid w:val="009E1E65"/>
    <w:rsid w:val="009E7683"/>
    <w:rsid w:val="009F6865"/>
    <w:rsid w:val="00A1704D"/>
    <w:rsid w:val="00A64415"/>
    <w:rsid w:val="00A729E1"/>
    <w:rsid w:val="00A90091"/>
    <w:rsid w:val="00AA1108"/>
    <w:rsid w:val="00AB73FC"/>
    <w:rsid w:val="00AC011B"/>
    <w:rsid w:val="00AC1747"/>
    <w:rsid w:val="00AD2396"/>
    <w:rsid w:val="00B04C4B"/>
    <w:rsid w:val="00B20C73"/>
    <w:rsid w:val="00B603D9"/>
    <w:rsid w:val="00B64636"/>
    <w:rsid w:val="00B8170E"/>
    <w:rsid w:val="00B90FA2"/>
    <w:rsid w:val="00B96369"/>
    <w:rsid w:val="00C035E0"/>
    <w:rsid w:val="00C42EBB"/>
    <w:rsid w:val="00C4755B"/>
    <w:rsid w:val="00C4793D"/>
    <w:rsid w:val="00C55CC4"/>
    <w:rsid w:val="00C72FFB"/>
    <w:rsid w:val="00C73147"/>
    <w:rsid w:val="00CA0228"/>
    <w:rsid w:val="00CB506C"/>
    <w:rsid w:val="00CC3FD6"/>
    <w:rsid w:val="00CD0272"/>
    <w:rsid w:val="00CD20AF"/>
    <w:rsid w:val="00D141A4"/>
    <w:rsid w:val="00D47F42"/>
    <w:rsid w:val="00DC23ED"/>
    <w:rsid w:val="00DE474D"/>
    <w:rsid w:val="00E15BB0"/>
    <w:rsid w:val="00E236C5"/>
    <w:rsid w:val="00E35374"/>
    <w:rsid w:val="00E44147"/>
    <w:rsid w:val="00EA7A0E"/>
    <w:rsid w:val="00EB0912"/>
    <w:rsid w:val="00EC23D8"/>
    <w:rsid w:val="00EC3DA8"/>
    <w:rsid w:val="00EC731B"/>
    <w:rsid w:val="00EF156D"/>
    <w:rsid w:val="00F01FE8"/>
    <w:rsid w:val="00F415CC"/>
    <w:rsid w:val="00F47315"/>
    <w:rsid w:val="00F479E2"/>
    <w:rsid w:val="00F71E84"/>
    <w:rsid w:val="00FA4FF0"/>
    <w:rsid w:val="00FA7323"/>
    <w:rsid w:val="00FC15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honard@mail.house.gov" TargetMode="External"/><Relationship Id="rId3" Type="http://schemas.openxmlformats.org/officeDocument/2006/relationships/styles" Target="styles.xml"/><Relationship Id="rId7" Type="http://schemas.openxmlformats.org/officeDocument/2006/relationships/hyperlink" Target="https://appropriations.house.gov/sites/republicans.appropriations.house.gov/files/FY24%20Economic%20Development%20Initiative%20(EDI)%20Project%20Guid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PFs.DelBene@mail.hous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83BF-C2E5-47B2-A42A-5F3BBD66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4</cp:revision>
  <dcterms:created xsi:type="dcterms:W3CDTF">2023-03-02T12:16:00Z</dcterms:created>
  <dcterms:modified xsi:type="dcterms:W3CDTF">2023-03-02T12:21:00Z</dcterms:modified>
</cp:coreProperties>
</file>